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pPr w:leftFromText="141" w:rightFromText="141" w:horzAnchor="margin" w:tblpY="-330"/>
        <w:tblW w:w="10173" w:type="dxa"/>
        <w:tblLook w:val="04A0" w:firstRow="1" w:lastRow="0" w:firstColumn="1" w:lastColumn="0" w:noHBand="0" w:noVBand="1"/>
      </w:tblPr>
      <w:tblGrid>
        <w:gridCol w:w="2166"/>
        <w:gridCol w:w="4666"/>
        <w:gridCol w:w="398"/>
        <w:gridCol w:w="1525"/>
        <w:gridCol w:w="1418"/>
      </w:tblGrid>
      <w:tr w:rsidR="006014A1" w:rsidRPr="006E6A78" w14:paraId="1B00D707" w14:textId="77777777" w:rsidTr="006014A1">
        <w:trPr>
          <w:trHeight w:val="170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FD7FB99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rPr>
                <w:rFonts w:cs="Times New Roman"/>
              </w:rPr>
            </w:pPr>
            <w:r w:rsidRPr="006E6A78">
              <w:rPr>
                <w:rFonts w:cs="Times New Roman"/>
                <w:noProof/>
              </w:rPr>
              <w:drawing>
                <wp:inline distT="0" distB="0" distL="0" distR="0" wp14:anchorId="58656FAC" wp14:editId="4679F4F9">
                  <wp:extent cx="1209674" cy="1104900"/>
                  <wp:effectExtent l="19050" t="19050" r="10160" b="19050"/>
                  <wp:docPr id="14" name="Resim 14" descr="Harran Üniversitesi Logo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rran Üniversitesi Logo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4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C010F" w14:textId="77777777" w:rsidR="00DB7660" w:rsidRPr="006E6A78" w:rsidRDefault="00DB7660" w:rsidP="006014A1">
            <w:pPr>
              <w:widowControl w:val="0"/>
              <w:autoSpaceDE w:val="0"/>
              <w:autoSpaceDN w:val="0"/>
              <w:ind w:firstLine="382"/>
              <w:jc w:val="center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r w:rsidRPr="006E6A78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T.C.</w:t>
            </w:r>
          </w:p>
          <w:p w14:paraId="22218C8B" w14:textId="77777777" w:rsidR="00DB7660" w:rsidRPr="006E6A78" w:rsidRDefault="00DB7660" w:rsidP="006014A1">
            <w:pPr>
              <w:widowControl w:val="0"/>
              <w:tabs>
                <w:tab w:val="left" w:pos="4809"/>
              </w:tabs>
              <w:autoSpaceDE w:val="0"/>
              <w:autoSpaceDN w:val="0"/>
              <w:ind w:firstLine="382"/>
              <w:jc w:val="center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r w:rsidRPr="006E6A78"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HARRAN ÜNİVERSİTESİ</w:t>
            </w:r>
          </w:p>
          <w:p w14:paraId="7C198024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ind w:left="240" w:firstLine="382"/>
              <w:jc w:val="center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REKTÖRLÜĞÜ</w:t>
            </w:r>
          </w:p>
          <w:p w14:paraId="7955E880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ind w:firstLine="382"/>
              <w:jc w:val="center"/>
              <w:rPr>
                <w:rFonts w:ascii="Times New Roman" w:eastAsia="Carlit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rlito" w:hAnsi="Times New Roman" w:cs="Times New Roman"/>
                <w:b/>
                <w:sz w:val="24"/>
                <w:szCs w:val="24"/>
              </w:rPr>
              <w:t>PERFORMANS DEĞERLENDİRE PROSESİ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14:paraId="6FC5676A" w14:textId="77777777" w:rsidR="00DB7660" w:rsidRPr="006E6A78" w:rsidRDefault="00DB7660" w:rsidP="006014A1">
            <w:pPr>
              <w:widowControl w:val="0"/>
              <w:autoSpaceDE w:val="0"/>
              <w:autoSpaceDN w:val="0"/>
              <w:jc w:val="center"/>
              <w:rPr>
                <w:rFonts w:ascii="Carlito" w:eastAsia="Carlito" w:hAnsi="Carlito" w:cs="Carlito"/>
              </w:rPr>
            </w:pPr>
          </w:p>
          <w:p w14:paraId="031D4386" w14:textId="77777777" w:rsidR="00DB7660" w:rsidRPr="006E6A78" w:rsidRDefault="00DB7660" w:rsidP="006014A1">
            <w:pPr>
              <w:widowControl w:val="0"/>
              <w:autoSpaceDE w:val="0"/>
              <w:autoSpaceDN w:val="0"/>
              <w:jc w:val="center"/>
              <w:rPr>
                <w:rFonts w:ascii="Carlito" w:eastAsia="Carlito" w:hAnsi="Carlito" w:cs="Carlito"/>
              </w:rPr>
            </w:pPr>
          </w:p>
          <w:p w14:paraId="14B42275" w14:textId="77777777" w:rsidR="00DB7660" w:rsidRPr="006E6A78" w:rsidRDefault="00DB7660" w:rsidP="006014A1">
            <w:pPr>
              <w:widowControl w:val="0"/>
              <w:autoSpaceDE w:val="0"/>
              <w:autoSpaceDN w:val="0"/>
              <w:jc w:val="center"/>
              <w:rPr>
                <w:rFonts w:ascii="Carlito" w:eastAsia="Carlito" w:hAnsi="Carlito" w:cs="Carlito"/>
              </w:rPr>
            </w:pPr>
          </w:p>
          <w:p w14:paraId="5D9A8D83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jc w:val="center"/>
              <w:rPr>
                <w:rFonts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3D57A" w14:textId="77777777" w:rsidR="00DB7660" w:rsidRPr="006E6A78" w:rsidRDefault="00DB7660" w:rsidP="006014A1">
            <w:pPr>
              <w:widowControl w:val="0"/>
              <w:autoSpaceDE w:val="0"/>
              <w:autoSpaceDN w:val="0"/>
              <w:contextualSpacing/>
              <w:rPr>
                <w:rFonts w:ascii="Times New Roman" w:eastAsia="Carlito" w:hAnsi="Times New Roman" w:cs="Times New Roman"/>
                <w:b/>
                <w:sz w:val="18"/>
                <w:szCs w:val="18"/>
              </w:rPr>
            </w:pPr>
            <w:r w:rsidRPr="006E6A78"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>Doküman No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91589A" w14:textId="77777777" w:rsidR="00DB7660" w:rsidRPr="006E6A78" w:rsidRDefault="00DB7660" w:rsidP="006014A1">
            <w:pPr>
              <w:widowControl w:val="0"/>
              <w:autoSpaceDE w:val="0"/>
              <w:autoSpaceDN w:val="0"/>
              <w:contextualSpacing/>
              <w:rPr>
                <w:rFonts w:ascii="Times New Roman" w:eastAsia="Carlito" w:hAnsi="Times New Roman" w:cs="Times New Roman"/>
                <w:b/>
                <w:sz w:val="18"/>
                <w:szCs w:val="18"/>
              </w:rPr>
            </w:pPr>
            <w:r w:rsidRPr="006E6A78"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>KYS-</w:t>
            </w:r>
            <w:r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>PRS-014</w:t>
            </w:r>
          </w:p>
        </w:tc>
      </w:tr>
      <w:tr w:rsidR="006014A1" w:rsidRPr="006E6A78" w14:paraId="6011EA72" w14:textId="77777777" w:rsidTr="006014A1">
        <w:trPr>
          <w:trHeight w:val="314"/>
        </w:trPr>
        <w:tc>
          <w:tcPr>
            <w:tcW w:w="2166" w:type="dxa"/>
            <w:vMerge/>
            <w:tcBorders>
              <w:left w:val="single" w:sz="4" w:space="0" w:color="auto"/>
              <w:right w:val="nil"/>
            </w:tcBorders>
          </w:tcPr>
          <w:p w14:paraId="0A45DB2C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rPr>
                <w:rFonts w:cs="Times New Roman"/>
                <w:noProof/>
              </w:rPr>
            </w:pPr>
          </w:p>
        </w:tc>
        <w:tc>
          <w:tcPr>
            <w:tcW w:w="46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5E03B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57A80894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E0B1A" w14:textId="77777777" w:rsidR="00DB7660" w:rsidRPr="006E6A78" w:rsidRDefault="00DB7660" w:rsidP="006014A1">
            <w:pPr>
              <w:widowControl w:val="0"/>
              <w:autoSpaceDE w:val="0"/>
              <w:autoSpaceDN w:val="0"/>
              <w:contextualSpacing/>
              <w:rPr>
                <w:rFonts w:ascii="Times New Roman" w:eastAsia="Carlito" w:hAnsi="Times New Roman" w:cs="Times New Roman"/>
                <w:b/>
                <w:sz w:val="18"/>
                <w:szCs w:val="18"/>
              </w:rPr>
            </w:pPr>
            <w:r w:rsidRPr="006E6A78">
              <w:rPr>
                <w:rFonts w:ascii="Times New Roman" w:eastAsia="Carlito" w:hAnsi="Times New Roman" w:cs="Times New Roman"/>
                <w:b/>
                <w:sz w:val="18"/>
                <w:szCs w:val="18"/>
              </w:rPr>
              <w:t>Yayın Tarihi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DCCF86" w14:textId="77777777" w:rsidR="00DB7660" w:rsidRPr="006E6A78" w:rsidRDefault="00DB7660" w:rsidP="006014A1">
            <w:pPr>
              <w:widowControl w:val="0"/>
              <w:autoSpaceDE w:val="0"/>
              <w:autoSpaceDN w:val="0"/>
              <w:contextualSpacing/>
              <w:rPr>
                <w:rFonts w:ascii="Times New Roman" w:eastAsia="Carlito" w:hAnsi="Times New Roman" w:cs="Times New Roman"/>
                <w:b/>
                <w:sz w:val="18"/>
                <w:szCs w:val="18"/>
              </w:rPr>
            </w:pPr>
          </w:p>
        </w:tc>
      </w:tr>
      <w:tr w:rsidR="006014A1" w:rsidRPr="006E6A78" w14:paraId="4E59ACB5" w14:textId="77777777" w:rsidTr="006014A1">
        <w:trPr>
          <w:trHeight w:val="314"/>
        </w:trPr>
        <w:tc>
          <w:tcPr>
            <w:tcW w:w="2166" w:type="dxa"/>
            <w:vMerge/>
            <w:tcBorders>
              <w:left w:val="single" w:sz="4" w:space="0" w:color="auto"/>
              <w:right w:val="nil"/>
            </w:tcBorders>
          </w:tcPr>
          <w:p w14:paraId="2A5BFC0B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rPr>
                <w:rFonts w:cs="Times New Roman"/>
                <w:noProof/>
              </w:rPr>
            </w:pPr>
          </w:p>
        </w:tc>
        <w:tc>
          <w:tcPr>
            <w:tcW w:w="46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109AA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453C862A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3D712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78">
              <w:rPr>
                <w:rFonts w:ascii="Times New Roman" w:hAnsi="Times New Roman" w:cs="Times New Roman"/>
                <w:b/>
                <w:sz w:val="18"/>
                <w:szCs w:val="18"/>
              </w:rPr>
              <w:t>Revizyon No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E90E6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14A1" w:rsidRPr="006E6A78" w14:paraId="02B29C54" w14:textId="77777777" w:rsidTr="006014A1">
        <w:trPr>
          <w:trHeight w:val="314"/>
        </w:trPr>
        <w:tc>
          <w:tcPr>
            <w:tcW w:w="2166" w:type="dxa"/>
            <w:vMerge/>
            <w:tcBorders>
              <w:left w:val="single" w:sz="4" w:space="0" w:color="auto"/>
              <w:right w:val="nil"/>
            </w:tcBorders>
          </w:tcPr>
          <w:p w14:paraId="61437DD5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rPr>
                <w:rFonts w:cs="Times New Roman"/>
                <w:noProof/>
              </w:rPr>
            </w:pPr>
          </w:p>
        </w:tc>
        <w:tc>
          <w:tcPr>
            <w:tcW w:w="46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F4BA9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18469931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FBDF2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78">
              <w:rPr>
                <w:rFonts w:ascii="Times New Roman" w:hAnsi="Times New Roman" w:cs="Times New Roman"/>
                <w:b/>
                <w:sz w:val="18"/>
                <w:szCs w:val="18"/>
              </w:rPr>
              <w:t>Revizyon Tarihi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D6E240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14A1" w:rsidRPr="006E6A78" w14:paraId="20611F45" w14:textId="77777777" w:rsidTr="006014A1">
        <w:trPr>
          <w:trHeight w:val="314"/>
        </w:trPr>
        <w:tc>
          <w:tcPr>
            <w:tcW w:w="2166" w:type="dxa"/>
            <w:vMerge/>
            <w:tcBorders>
              <w:left w:val="single" w:sz="4" w:space="0" w:color="auto"/>
              <w:right w:val="nil"/>
            </w:tcBorders>
          </w:tcPr>
          <w:p w14:paraId="1923E549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rPr>
                <w:rFonts w:cs="Times New Roman"/>
                <w:noProof/>
              </w:rPr>
            </w:pPr>
          </w:p>
        </w:tc>
        <w:tc>
          <w:tcPr>
            <w:tcW w:w="46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FDFCA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14:paraId="0ED910B1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214A4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A78">
              <w:rPr>
                <w:rFonts w:ascii="Times New Roman" w:hAnsi="Times New Roman" w:cs="Times New Roman"/>
                <w:b/>
                <w:sz w:val="18"/>
                <w:szCs w:val="18"/>
              </w:rPr>
              <w:t>Sayfa No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EB637" w14:textId="4A94832B" w:rsidR="00DB7660" w:rsidRPr="006E6A78" w:rsidRDefault="00B874D5" w:rsidP="006014A1">
            <w:pPr>
              <w:tabs>
                <w:tab w:val="center" w:pos="4536"/>
                <w:tab w:val="right" w:pos="9072"/>
              </w:tabs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4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B874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  \* Arabic  \* MERGEFORMAT</w:instrText>
            </w:r>
            <w:r w:rsidRPr="00B874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B874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B87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B874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B874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  \* Arabic  \* MERGEFORMAT</w:instrText>
            </w:r>
            <w:r w:rsidRPr="00B874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B874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014A1" w:rsidRPr="006E6A78" w14:paraId="01605596" w14:textId="77777777" w:rsidTr="006014A1">
        <w:trPr>
          <w:trHeight w:val="347"/>
        </w:trPr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8F951E3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rPr>
                <w:rFonts w:cs="Times New Roman"/>
                <w:noProof/>
              </w:rPr>
            </w:pPr>
          </w:p>
        </w:tc>
        <w:tc>
          <w:tcPr>
            <w:tcW w:w="46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757AB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D7B0BAB" w14:textId="77777777" w:rsidR="00DB7660" w:rsidRPr="006E6A78" w:rsidRDefault="00DB7660" w:rsidP="006014A1">
            <w:pPr>
              <w:tabs>
                <w:tab w:val="center" w:pos="4536"/>
                <w:tab w:val="right" w:pos="9072"/>
              </w:tabs>
              <w:rPr>
                <w:rFonts w:cs="Times New Roman"/>
              </w:rPr>
            </w:pPr>
          </w:p>
        </w:tc>
        <w:tc>
          <w:tcPr>
            <w:tcW w:w="294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B8314" w14:textId="77777777" w:rsidR="00DB7660" w:rsidRPr="006E6A78" w:rsidRDefault="00DB7660" w:rsidP="006014A1">
            <w:pPr>
              <w:widowControl w:val="0"/>
              <w:autoSpaceDE w:val="0"/>
              <w:autoSpaceDN w:val="0"/>
              <w:contextualSpacing/>
              <w:rPr>
                <w:rFonts w:ascii="Times New Roman" w:eastAsia="Carlito" w:hAnsi="Times New Roman" w:cs="Times New Roman"/>
                <w:b/>
                <w:sz w:val="20"/>
              </w:rPr>
            </w:pPr>
          </w:p>
        </w:tc>
      </w:tr>
    </w:tbl>
    <w:p w14:paraId="67BFFB42" w14:textId="77777777" w:rsidR="009D7338" w:rsidRDefault="009D7338">
      <w:pPr>
        <w:pStyle w:val="GvdeMetni"/>
        <w:rPr>
          <w:rFonts w:ascii="Times New Roman"/>
          <w:sz w:val="20"/>
        </w:rPr>
      </w:pPr>
    </w:p>
    <w:p w14:paraId="4B1713C7" w14:textId="77777777" w:rsidR="009D7338" w:rsidRDefault="009D7338">
      <w:pPr>
        <w:pStyle w:val="GvdeMetni"/>
        <w:spacing w:before="2"/>
        <w:rPr>
          <w:rFonts w:ascii="Times New Roman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934"/>
        <w:gridCol w:w="5874"/>
      </w:tblGrid>
      <w:tr w:rsidR="009D7338" w14:paraId="760FBFA8" w14:textId="77777777" w:rsidTr="006E1D8A">
        <w:trPr>
          <w:trHeight w:val="4843"/>
        </w:trPr>
        <w:tc>
          <w:tcPr>
            <w:tcW w:w="3775" w:type="dxa"/>
            <w:gridSpan w:val="2"/>
          </w:tcPr>
          <w:p w14:paraId="4F5EA7D0" w14:textId="77777777" w:rsidR="009D7338" w:rsidRDefault="009D733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D58AD53" w14:textId="77777777" w:rsidR="009D7338" w:rsidRDefault="004011D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PROSESİN AMACI</w:t>
            </w:r>
          </w:p>
        </w:tc>
        <w:tc>
          <w:tcPr>
            <w:tcW w:w="5874" w:type="dxa"/>
          </w:tcPr>
          <w:p w14:paraId="4DFE5664" w14:textId="77777777" w:rsidR="009D7338" w:rsidRDefault="009D7338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3145234E" w14:textId="77777777" w:rsidR="009D7338" w:rsidRDefault="004011DE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right="353"/>
              <w:rPr>
                <w:rFonts w:ascii="Symbol" w:hAnsi="Symbol"/>
                <w:sz w:val="20"/>
              </w:rPr>
            </w:pPr>
            <w:r>
              <w:t xml:space="preserve">Kuruluş, kalite yönetim sisteminin performansını ve etkinliğini değerlendirmek ve paydaş memnuniyetini artırmak için </w:t>
            </w:r>
            <w:r>
              <w:rPr>
                <w:rFonts w:ascii="Arial" w:hAnsi="Arial"/>
                <w:sz w:val="20"/>
              </w:rPr>
              <w:t>hangi alanlarda izleme, ölçme ve değerlendirme yapacağını, kullanılacak yöntemleri belirlemelidir.</w:t>
            </w:r>
          </w:p>
          <w:p w14:paraId="44682D2B" w14:textId="77777777" w:rsidR="009D7338" w:rsidRDefault="004011DE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3" w:line="237" w:lineRule="auto"/>
              <w:ind w:right="397"/>
              <w:rPr>
                <w:rFonts w:ascii="Symbol" w:hAnsi="Symbo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Kuruluş belirlediği bu alanlarda izleme ölçmenin ne zaman yapılacağını, izleme ölçme sonuçlarının nasıl analiz edileceğine karar vererek yapılan izleme </w:t>
            </w:r>
            <w:r>
              <w:rPr>
                <w:rFonts w:ascii="Arial" w:hAnsi="Arial"/>
                <w:spacing w:val="4"/>
                <w:sz w:val="20"/>
              </w:rPr>
              <w:t xml:space="preserve">ve </w:t>
            </w:r>
            <w:r>
              <w:rPr>
                <w:rFonts w:ascii="Arial" w:hAnsi="Arial"/>
                <w:sz w:val="20"/>
              </w:rPr>
              <w:t>ölçme sonuçlarını güvence altına</w:t>
            </w:r>
            <w:r>
              <w:rPr>
                <w:rFonts w:ascii="Arial" w:hAnsi="Arial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almalıdır.</w:t>
            </w:r>
          </w:p>
          <w:p w14:paraId="6B99AF8C" w14:textId="77777777" w:rsidR="009D7338" w:rsidRDefault="004011DE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4"/>
              <w:ind w:right="590"/>
              <w:rPr>
                <w:rFonts w:ascii="Symbol" w:hAnsi="Symbol"/>
                <w:sz w:val="20"/>
              </w:rPr>
            </w:pPr>
            <w:r>
              <w:rPr>
                <w:rFonts w:ascii="Arial" w:hAnsi="Arial"/>
                <w:sz w:val="20"/>
              </w:rPr>
              <w:t>Kuruluş sıklık, yöntemler, sorumluluklar, planlama şartları ve raporlama dâhil, ilgili proseslerin önemi, kuruluşu etkileyen değişiklikler ve önceki tetkik sonuçları değerlendirilerek, bir tetkik programı/programları planlamalı, oluşturmalı ve sürekliliğini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sağlamalıdır.</w:t>
            </w:r>
          </w:p>
          <w:p w14:paraId="01F08167" w14:textId="77777777" w:rsidR="009D7338" w:rsidRDefault="004011DE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right="601"/>
              <w:rPr>
                <w:rFonts w:ascii="Symbol" w:hAnsi="Symbol"/>
                <w:sz w:val="20"/>
              </w:rPr>
            </w:pPr>
            <w:r>
              <w:rPr>
                <w:rFonts w:ascii="Arial" w:hAnsi="Arial"/>
                <w:sz w:val="20"/>
              </w:rPr>
              <w:t>Herhangi bir gecikmeye mahal vermeden uygun düzeltmeler ve düzeltici faaliyetler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gerçekleştirmeli</w:t>
            </w:r>
          </w:p>
          <w:p w14:paraId="02A1037F" w14:textId="77777777" w:rsidR="009D7338" w:rsidRDefault="004011DE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" w:line="235" w:lineRule="auto"/>
              <w:ind w:right="476"/>
              <w:rPr>
                <w:rFonts w:ascii="Symbol" w:hAnsi="Symbol"/>
              </w:rPr>
            </w:pPr>
            <w:r>
              <w:rPr>
                <w:rFonts w:ascii="Arial" w:hAnsi="Arial"/>
                <w:sz w:val="20"/>
              </w:rPr>
              <w:t xml:space="preserve">Kuruluş, sonuçların kanıtı olarak, uygun </w:t>
            </w:r>
            <w:proofErr w:type="spellStart"/>
            <w:r>
              <w:rPr>
                <w:rFonts w:ascii="Arial" w:hAnsi="Arial"/>
                <w:sz w:val="20"/>
              </w:rPr>
              <w:t>dokümante</w:t>
            </w:r>
            <w:proofErr w:type="spellEnd"/>
            <w:r>
              <w:rPr>
                <w:rFonts w:ascii="Arial" w:hAnsi="Arial"/>
                <w:sz w:val="20"/>
              </w:rPr>
              <w:t xml:space="preserve"> edilmiş bilgiyi muhafaza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etmelidir.</w:t>
            </w:r>
          </w:p>
        </w:tc>
      </w:tr>
      <w:tr w:rsidR="009D7338" w14:paraId="699488F2" w14:textId="77777777">
        <w:trPr>
          <w:trHeight w:val="268"/>
        </w:trPr>
        <w:tc>
          <w:tcPr>
            <w:tcW w:w="3775" w:type="dxa"/>
            <w:gridSpan w:val="2"/>
          </w:tcPr>
          <w:p w14:paraId="55387A6C" w14:textId="77777777" w:rsidR="009D7338" w:rsidRDefault="004011D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PROSESİN KAPSAMI</w:t>
            </w:r>
          </w:p>
        </w:tc>
        <w:tc>
          <w:tcPr>
            <w:tcW w:w="5874" w:type="dxa"/>
          </w:tcPr>
          <w:p w14:paraId="72BD773E" w14:textId="77777777" w:rsidR="009D7338" w:rsidRDefault="004011DE">
            <w:pPr>
              <w:pStyle w:val="TableParagraph"/>
              <w:spacing w:line="248" w:lineRule="exact"/>
              <w:ind w:left="105"/>
            </w:pPr>
            <w:r>
              <w:t>Kalite yönetim sisteminin tüm faaliyetleri</w:t>
            </w:r>
          </w:p>
        </w:tc>
      </w:tr>
      <w:tr w:rsidR="009D7338" w14:paraId="493974BC" w14:textId="77777777">
        <w:trPr>
          <w:trHeight w:val="268"/>
        </w:trPr>
        <w:tc>
          <w:tcPr>
            <w:tcW w:w="3775" w:type="dxa"/>
            <w:gridSpan w:val="2"/>
          </w:tcPr>
          <w:p w14:paraId="02569CD6" w14:textId="77777777" w:rsidR="009D7338" w:rsidRDefault="004011D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PROSESİN SORUMLULARI</w:t>
            </w:r>
          </w:p>
        </w:tc>
        <w:tc>
          <w:tcPr>
            <w:tcW w:w="5874" w:type="dxa"/>
          </w:tcPr>
          <w:p w14:paraId="4FCB66F4" w14:textId="77777777" w:rsidR="009D7338" w:rsidRDefault="004011DE">
            <w:pPr>
              <w:pStyle w:val="TableParagraph"/>
              <w:spacing w:line="248" w:lineRule="exact"/>
              <w:ind w:left="105"/>
            </w:pPr>
            <w:r>
              <w:t>İlgili görev tanımları</w:t>
            </w:r>
          </w:p>
        </w:tc>
      </w:tr>
      <w:tr w:rsidR="009D7338" w14:paraId="5557004C" w14:textId="77777777">
        <w:trPr>
          <w:trHeight w:val="268"/>
        </w:trPr>
        <w:tc>
          <w:tcPr>
            <w:tcW w:w="3775" w:type="dxa"/>
            <w:gridSpan w:val="2"/>
          </w:tcPr>
          <w:p w14:paraId="3C4035D3" w14:textId="77777777" w:rsidR="009D7338" w:rsidRDefault="004011D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ETKİLEDİĞİ PROSES</w:t>
            </w:r>
          </w:p>
        </w:tc>
        <w:tc>
          <w:tcPr>
            <w:tcW w:w="5874" w:type="dxa"/>
          </w:tcPr>
          <w:p w14:paraId="065DBE37" w14:textId="77777777" w:rsidR="009D7338" w:rsidRDefault="004011DE">
            <w:pPr>
              <w:pStyle w:val="TableParagraph"/>
              <w:spacing w:line="248" w:lineRule="exact"/>
              <w:ind w:left="105"/>
            </w:pPr>
            <w:r>
              <w:t>Tüm Prosesler</w:t>
            </w:r>
          </w:p>
        </w:tc>
      </w:tr>
      <w:tr w:rsidR="009D7338" w14:paraId="68CF70CF" w14:textId="77777777">
        <w:trPr>
          <w:trHeight w:val="268"/>
        </w:trPr>
        <w:tc>
          <w:tcPr>
            <w:tcW w:w="3775" w:type="dxa"/>
            <w:gridSpan w:val="2"/>
          </w:tcPr>
          <w:p w14:paraId="05B345EB" w14:textId="77777777" w:rsidR="009D7338" w:rsidRDefault="004011DE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ETKİLENDİĞİ PROSES</w:t>
            </w:r>
          </w:p>
        </w:tc>
        <w:tc>
          <w:tcPr>
            <w:tcW w:w="5874" w:type="dxa"/>
          </w:tcPr>
          <w:p w14:paraId="498E07D6" w14:textId="77777777" w:rsidR="009D7338" w:rsidRDefault="004011DE">
            <w:pPr>
              <w:pStyle w:val="TableParagraph"/>
              <w:spacing w:line="249" w:lineRule="exact"/>
              <w:ind w:left="105"/>
            </w:pPr>
            <w:r>
              <w:t>Tüm Prosesler</w:t>
            </w:r>
          </w:p>
        </w:tc>
      </w:tr>
      <w:tr w:rsidR="009D7338" w14:paraId="4E0C5933" w14:textId="77777777">
        <w:trPr>
          <w:trHeight w:val="806"/>
        </w:trPr>
        <w:tc>
          <w:tcPr>
            <w:tcW w:w="841" w:type="dxa"/>
            <w:vMerge w:val="restart"/>
            <w:textDirection w:val="btLr"/>
          </w:tcPr>
          <w:p w14:paraId="7927ADC1" w14:textId="77777777" w:rsidR="009D7338" w:rsidRDefault="009D7338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0241CF49" w14:textId="77777777" w:rsidR="009D7338" w:rsidRDefault="004011DE">
            <w:pPr>
              <w:pStyle w:val="TableParagraph"/>
              <w:ind w:left="201"/>
              <w:rPr>
                <w:b/>
              </w:rPr>
            </w:pPr>
            <w:r>
              <w:rPr>
                <w:b/>
              </w:rPr>
              <w:t>PROSESİN PLANLANMASI</w:t>
            </w:r>
          </w:p>
        </w:tc>
        <w:tc>
          <w:tcPr>
            <w:tcW w:w="2934" w:type="dxa"/>
          </w:tcPr>
          <w:p w14:paraId="31B9D4E6" w14:textId="77777777" w:rsidR="009D7338" w:rsidRDefault="009D733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12949EF" w14:textId="77777777" w:rsidR="009D7338" w:rsidRDefault="004011D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Sürecin Girdileri</w:t>
            </w:r>
          </w:p>
        </w:tc>
        <w:tc>
          <w:tcPr>
            <w:tcW w:w="5874" w:type="dxa"/>
          </w:tcPr>
          <w:p w14:paraId="68062027" w14:textId="77777777" w:rsidR="009D7338" w:rsidRDefault="004011DE">
            <w:pPr>
              <w:pStyle w:val="TableParagraph"/>
              <w:spacing w:before="131"/>
              <w:ind w:left="105"/>
            </w:pPr>
            <w:r>
              <w:t>Eğitim- Öğretim faaliyetleri, AR-GE çalışmaları ve topluma sunulan hizmetler</w:t>
            </w:r>
          </w:p>
        </w:tc>
      </w:tr>
      <w:tr w:rsidR="009D7338" w14:paraId="10B26FE1" w14:textId="77777777">
        <w:trPr>
          <w:trHeight w:val="806"/>
        </w:trPr>
        <w:tc>
          <w:tcPr>
            <w:tcW w:w="841" w:type="dxa"/>
            <w:vMerge/>
            <w:tcBorders>
              <w:top w:val="nil"/>
            </w:tcBorders>
            <w:textDirection w:val="btLr"/>
          </w:tcPr>
          <w:p w14:paraId="4AC6DBFC" w14:textId="77777777" w:rsidR="009D7338" w:rsidRDefault="009D7338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49F21FF3" w14:textId="77777777" w:rsidR="009D7338" w:rsidRDefault="009D7338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68C0791A" w14:textId="77777777" w:rsidR="009D7338" w:rsidRDefault="004011D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Sürecin Kaynakları</w:t>
            </w:r>
          </w:p>
        </w:tc>
        <w:tc>
          <w:tcPr>
            <w:tcW w:w="5874" w:type="dxa"/>
          </w:tcPr>
          <w:p w14:paraId="3AF2D3C1" w14:textId="77777777" w:rsidR="009D7338" w:rsidRDefault="004011DE">
            <w:pPr>
              <w:pStyle w:val="TableParagraph"/>
              <w:spacing w:before="131"/>
              <w:ind w:left="105" w:right="279"/>
            </w:pPr>
            <w:r>
              <w:t>Hizmet binaları, tüm çalışanlar, fiziki altyapı, dokümanlar, her türlü makina teçhizatlar, büro malzemeleri, laboratuvarlar</w:t>
            </w:r>
          </w:p>
        </w:tc>
      </w:tr>
      <w:tr w:rsidR="009D7338" w14:paraId="10B3321A" w14:textId="77777777">
        <w:trPr>
          <w:trHeight w:val="1074"/>
        </w:trPr>
        <w:tc>
          <w:tcPr>
            <w:tcW w:w="841" w:type="dxa"/>
            <w:vMerge/>
            <w:tcBorders>
              <w:top w:val="nil"/>
            </w:tcBorders>
            <w:textDirection w:val="btLr"/>
          </w:tcPr>
          <w:p w14:paraId="287AB945" w14:textId="77777777" w:rsidR="009D7338" w:rsidRDefault="009D7338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14:paraId="07225E31" w14:textId="77777777" w:rsidR="009D7338" w:rsidRDefault="009D7338">
            <w:pPr>
              <w:pStyle w:val="TableParagraph"/>
              <w:rPr>
                <w:rFonts w:ascii="Times New Roman"/>
              </w:rPr>
            </w:pPr>
          </w:p>
          <w:p w14:paraId="4C843446" w14:textId="77777777" w:rsidR="009D7338" w:rsidRDefault="004011DE">
            <w:pPr>
              <w:pStyle w:val="TableParagraph"/>
              <w:spacing w:before="147"/>
              <w:ind w:left="109"/>
              <w:rPr>
                <w:b/>
              </w:rPr>
            </w:pPr>
            <w:r>
              <w:rPr>
                <w:b/>
              </w:rPr>
              <w:t>Sürecin Planlanan Çıktıları</w:t>
            </w:r>
          </w:p>
        </w:tc>
        <w:tc>
          <w:tcPr>
            <w:tcW w:w="5874" w:type="dxa"/>
          </w:tcPr>
          <w:p w14:paraId="06D63D4C" w14:textId="77777777" w:rsidR="009D7338" w:rsidRDefault="004011DE">
            <w:pPr>
              <w:pStyle w:val="TableParagraph"/>
              <w:ind w:left="105" w:right="169"/>
            </w:pPr>
            <w:r>
              <w:t>Verilen her türlü hizmetlerde Paydaş memnuniyetinin artması, yapılan ölçme değerlendirme sonuçlarına göre sürekli</w:t>
            </w:r>
          </w:p>
          <w:p w14:paraId="63FA343F" w14:textId="77777777" w:rsidR="009D7338" w:rsidRDefault="004011DE">
            <w:pPr>
              <w:pStyle w:val="TableParagraph"/>
              <w:spacing w:line="270" w:lineRule="atLeast"/>
              <w:ind w:left="105" w:right="456"/>
            </w:pPr>
            <w:proofErr w:type="gramStart"/>
            <w:r>
              <w:t>iyileştirme</w:t>
            </w:r>
            <w:proofErr w:type="gramEnd"/>
            <w:r>
              <w:t xml:space="preserve">, yapılan performans değerlendirme sonuçlarının </w:t>
            </w:r>
            <w:proofErr w:type="spellStart"/>
            <w:r>
              <w:t>dokümante</w:t>
            </w:r>
            <w:proofErr w:type="spellEnd"/>
            <w:r>
              <w:t xml:space="preserve"> edilerek muhafaza edilmesi.</w:t>
            </w:r>
          </w:p>
        </w:tc>
      </w:tr>
      <w:tr w:rsidR="009D7338" w14:paraId="02833F05" w14:textId="77777777" w:rsidTr="006014A1">
        <w:trPr>
          <w:trHeight w:val="3471"/>
        </w:trPr>
        <w:tc>
          <w:tcPr>
            <w:tcW w:w="3775" w:type="dxa"/>
            <w:gridSpan w:val="2"/>
            <w:tcBorders>
              <w:bottom w:val="double" w:sz="1" w:space="0" w:color="000000"/>
            </w:tcBorders>
          </w:tcPr>
          <w:p w14:paraId="4595C16C" w14:textId="77777777" w:rsidR="009D7338" w:rsidRDefault="009D7338">
            <w:pPr>
              <w:pStyle w:val="TableParagraph"/>
              <w:rPr>
                <w:rFonts w:ascii="Times New Roman"/>
              </w:rPr>
            </w:pPr>
          </w:p>
          <w:p w14:paraId="1D2A2BFF" w14:textId="77777777" w:rsidR="009D7338" w:rsidRDefault="009D7338">
            <w:pPr>
              <w:pStyle w:val="TableParagraph"/>
              <w:rPr>
                <w:rFonts w:ascii="Times New Roman"/>
              </w:rPr>
            </w:pPr>
          </w:p>
          <w:p w14:paraId="75E68E5B" w14:textId="77777777" w:rsidR="009D7338" w:rsidRDefault="009D7338">
            <w:pPr>
              <w:pStyle w:val="TableParagraph"/>
              <w:rPr>
                <w:rFonts w:ascii="Times New Roman"/>
              </w:rPr>
            </w:pPr>
          </w:p>
          <w:p w14:paraId="28F02628" w14:textId="77777777" w:rsidR="009D7338" w:rsidRDefault="009D7338">
            <w:pPr>
              <w:pStyle w:val="TableParagraph"/>
              <w:rPr>
                <w:rFonts w:ascii="Times New Roman"/>
              </w:rPr>
            </w:pPr>
          </w:p>
          <w:p w14:paraId="1FF491FE" w14:textId="77777777" w:rsidR="009D7338" w:rsidRDefault="004011DE">
            <w:pPr>
              <w:pStyle w:val="TableParagraph"/>
              <w:spacing w:before="197"/>
              <w:ind w:left="110"/>
              <w:rPr>
                <w:b/>
              </w:rPr>
            </w:pPr>
            <w:r>
              <w:rPr>
                <w:b/>
              </w:rPr>
              <w:t>PROSESİN UYGULANMASI</w:t>
            </w:r>
          </w:p>
        </w:tc>
        <w:tc>
          <w:tcPr>
            <w:tcW w:w="5874" w:type="dxa"/>
            <w:tcBorders>
              <w:bottom w:val="double" w:sz="1" w:space="0" w:color="000000"/>
            </w:tcBorders>
          </w:tcPr>
          <w:p w14:paraId="04917F5D" w14:textId="77777777" w:rsidR="009D7338" w:rsidRDefault="004011DE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77" w:lineRule="exact"/>
              <w:ind w:hanging="361"/>
            </w:pPr>
            <w:r>
              <w:t>2547 Sayılı Yükseköğretim</w:t>
            </w:r>
            <w:r>
              <w:rPr>
                <w:spacing w:val="-6"/>
              </w:rPr>
              <w:t xml:space="preserve"> </w:t>
            </w:r>
            <w:r>
              <w:t>Kanunu</w:t>
            </w:r>
          </w:p>
          <w:p w14:paraId="5CCFCE34" w14:textId="77777777" w:rsidR="009D7338" w:rsidRDefault="004011DE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7"/>
              <w:ind w:hanging="361"/>
            </w:pPr>
            <w:r>
              <w:t>Yükseköğretim Kalite Güvencesi ve</w:t>
            </w:r>
            <w:r>
              <w:rPr>
                <w:spacing w:val="-4"/>
              </w:rPr>
              <w:t xml:space="preserve"> </w:t>
            </w:r>
            <w:r>
              <w:t>Yükseköğretim</w:t>
            </w:r>
          </w:p>
          <w:p w14:paraId="2B267C4E" w14:textId="77777777" w:rsidR="009D7338" w:rsidRDefault="004011DE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23"/>
              <w:ind w:hanging="361"/>
            </w:pPr>
            <w:r>
              <w:t>Kalite Kurulu</w:t>
            </w:r>
            <w:r>
              <w:rPr>
                <w:spacing w:val="-6"/>
              </w:rPr>
              <w:t xml:space="preserve"> </w:t>
            </w:r>
            <w:r>
              <w:t>Yönetmeliği</w:t>
            </w:r>
          </w:p>
          <w:p w14:paraId="7E7B86E3" w14:textId="77777777" w:rsidR="009D7338" w:rsidRDefault="004011DE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22"/>
              <w:ind w:hanging="361"/>
            </w:pPr>
            <w:r>
              <w:t>TSE EN ISO 9001:2015</w:t>
            </w:r>
            <w:r>
              <w:rPr>
                <w:spacing w:val="-14"/>
              </w:rPr>
              <w:t xml:space="preserve"> </w:t>
            </w:r>
            <w:r>
              <w:t>Standartları</w:t>
            </w:r>
          </w:p>
          <w:p w14:paraId="63F2A866" w14:textId="77777777" w:rsidR="009D7338" w:rsidRDefault="006014A1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22"/>
              <w:ind w:hanging="361"/>
            </w:pPr>
            <w:r>
              <w:t>Harran</w:t>
            </w:r>
            <w:r w:rsidR="004011DE">
              <w:t xml:space="preserve"> Üniversitesi Kalite</w:t>
            </w:r>
            <w:r w:rsidR="004011DE">
              <w:rPr>
                <w:spacing w:val="-12"/>
              </w:rPr>
              <w:t xml:space="preserve"> </w:t>
            </w:r>
            <w:r w:rsidR="004011DE">
              <w:t>Yönergesi</w:t>
            </w:r>
          </w:p>
          <w:p w14:paraId="6F334DA8" w14:textId="77777777" w:rsidR="009D7338" w:rsidRDefault="004011DE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22" w:line="261" w:lineRule="auto"/>
              <w:ind w:right="249"/>
            </w:pPr>
            <w:r>
              <w:t>Kamu İdarelerinde Stratejik Planlamaya İlişkin Usul ve Esaslar Hakkında</w:t>
            </w:r>
            <w:r>
              <w:rPr>
                <w:spacing w:val="-6"/>
              </w:rPr>
              <w:t xml:space="preserve"> </w:t>
            </w:r>
            <w:r>
              <w:t>Yönetmelik</w:t>
            </w:r>
          </w:p>
          <w:p w14:paraId="1E3728DC" w14:textId="77777777" w:rsidR="006014A1" w:rsidRDefault="004011DE" w:rsidP="006014A1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274" w:lineRule="exact"/>
              <w:ind w:hanging="361"/>
            </w:pPr>
            <w:r>
              <w:t>Stratejik plan</w:t>
            </w:r>
            <w:r>
              <w:rPr>
                <w:spacing w:val="-6"/>
              </w:rPr>
              <w:t xml:space="preserve"> </w:t>
            </w:r>
            <w:r>
              <w:t>toplantıları</w:t>
            </w:r>
          </w:p>
          <w:p w14:paraId="45273918" w14:textId="77777777" w:rsidR="006014A1" w:rsidRDefault="004011DE" w:rsidP="006014A1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274" w:lineRule="exact"/>
              <w:ind w:hanging="361"/>
            </w:pPr>
            <w:r>
              <w:t>Kalite komisyonu</w:t>
            </w:r>
            <w:r w:rsidRPr="006014A1">
              <w:rPr>
                <w:spacing w:val="-6"/>
              </w:rPr>
              <w:t xml:space="preserve"> </w:t>
            </w:r>
            <w:r>
              <w:t>toplantıları</w:t>
            </w:r>
            <w:r w:rsidR="006014A1">
              <w:t xml:space="preserve"> </w:t>
            </w:r>
          </w:p>
          <w:p w14:paraId="0CC617E7" w14:textId="77777777" w:rsidR="006014A1" w:rsidRDefault="006014A1" w:rsidP="006014A1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274" w:lineRule="exact"/>
              <w:ind w:hanging="361"/>
            </w:pPr>
            <w:r>
              <w:t>YGG</w:t>
            </w:r>
            <w:r w:rsidRPr="006014A1">
              <w:rPr>
                <w:spacing w:val="-3"/>
              </w:rPr>
              <w:t xml:space="preserve"> </w:t>
            </w:r>
            <w:r>
              <w:t>toplantıları</w:t>
            </w:r>
          </w:p>
          <w:p w14:paraId="268FA5A7" w14:textId="77777777" w:rsidR="006014A1" w:rsidRDefault="006014A1" w:rsidP="006014A1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22" w:line="261" w:lineRule="auto"/>
              <w:ind w:right="612"/>
            </w:pPr>
            <w:r>
              <w:t>Kamu İdarelerince Hazırlanacak Faaliyet Raporları Hakkında</w:t>
            </w:r>
            <w:r>
              <w:rPr>
                <w:spacing w:val="-2"/>
              </w:rPr>
              <w:t xml:space="preserve"> </w:t>
            </w:r>
            <w:r>
              <w:t>Yönetmelik</w:t>
            </w:r>
          </w:p>
          <w:p w14:paraId="6FD2BC00" w14:textId="77777777" w:rsidR="009D7338" w:rsidRDefault="009D7338" w:rsidP="006E1D8A">
            <w:pPr>
              <w:pStyle w:val="TableParagraph"/>
              <w:tabs>
                <w:tab w:val="left" w:pos="825"/>
                <w:tab w:val="left" w:pos="826"/>
              </w:tabs>
              <w:spacing w:before="22" w:line="280" w:lineRule="exact"/>
              <w:ind w:left="825"/>
            </w:pPr>
          </w:p>
        </w:tc>
      </w:tr>
    </w:tbl>
    <w:p w14:paraId="00154F67" w14:textId="77777777" w:rsidR="009D7338" w:rsidRDefault="009D7338">
      <w:pPr>
        <w:jc w:val="center"/>
        <w:rPr>
          <w:rFonts w:ascii="Arial"/>
          <w:sz w:val="20"/>
        </w:rPr>
        <w:sectPr w:rsidR="009D7338" w:rsidSect="006014A1">
          <w:headerReference w:type="default" r:id="rId8"/>
          <w:footerReference w:type="default" r:id="rId9"/>
          <w:type w:val="continuous"/>
          <w:pgSz w:w="11910" w:h="16840"/>
          <w:pgMar w:top="709" w:right="840" w:bottom="1276" w:left="1180" w:header="710" w:footer="1077" w:gutter="0"/>
          <w:pgNumType w:start="1"/>
          <w:cols w:space="708"/>
          <w:docGrid w:linePitch="299"/>
        </w:sectPr>
      </w:pPr>
    </w:p>
    <w:p w14:paraId="4C93D8D1" w14:textId="77777777" w:rsidR="009D7338" w:rsidRDefault="009D7338">
      <w:pPr>
        <w:pStyle w:val="GvdeMetni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636"/>
        <w:gridCol w:w="2300"/>
        <w:gridCol w:w="3572"/>
      </w:tblGrid>
      <w:tr w:rsidR="009D7338" w14:paraId="533BF0F6" w14:textId="77777777" w:rsidTr="006E1D8A">
        <w:trPr>
          <w:trHeight w:val="1986"/>
        </w:trPr>
        <w:tc>
          <w:tcPr>
            <w:tcW w:w="3774" w:type="dxa"/>
            <w:gridSpan w:val="2"/>
          </w:tcPr>
          <w:p w14:paraId="5EF1B5D1" w14:textId="77777777" w:rsidR="009D7338" w:rsidRDefault="009D7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2" w:type="dxa"/>
            <w:gridSpan w:val="2"/>
          </w:tcPr>
          <w:p w14:paraId="79D8F168" w14:textId="77777777" w:rsidR="009D7338" w:rsidRDefault="004011D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73" w:lineRule="exact"/>
              <w:ind w:hanging="361"/>
            </w:pPr>
            <w:r>
              <w:t>İç tetkik</w:t>
            </w:r>
            <w:r>
              <w:rPr>
                <w:spacing w:val="-7"/>
              </w:rPr>
              <w:t xml:space="preserve"> </w:t>
            </w:r>
            <w:r>
              <w:t>prosedürü</w:t>
            </w:r>
          </w:p>
          <w:p w14:paraId="12B224DC" w14:textId="77777777" w:rsidR="009D7338" w:rsidRDefault="004011D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22"/>
              <w:ind w:hanging="361"/>
            </w:pPr>
            <w:r>
              <w:t>YÖKAK kurumsal dış değerlendirme</w:t>
            </w:r>
            <w:r>
              <w:rPr>
                <w:spacing w:val="-8"/>
              </w:rPr>
              <w:t xml:space="preserve"> </w:t>
            </w:r>
            <w:r>
              <w:t>ziyaretleri</w:t>
            </w:r>
          </w:p>
          <w:p w14:paraId="573CCBFC" w14:textId="77777777" w:rsidR="009D7338" w:rsidRDefault="004011D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23"/>
              <w:ind w:hanging="361"/>
            </w:pPr>
            <w:r>
              <w:t>Yıl içinde yapılan iç ve dış</w:t>
            </w:r>
            <w:r>
              <w:rPr>
                <w:spacing w:val="-14"/>
              </w:rPr>
              <w:t xml:space="preserve"> </w:t>
            </w:r>
            <w:r>
              <w:t>denetimler</w:t>
            </w:r>
          </w:p>
          <w:p w14:paraId="526A6800" w14:textId="77777777" w:rsidR="009D7338" w:rsidRDefault="004011D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22"/>
              <w:ind w:hanging="361"/>
            </w:pPr>
            <w:r>
              <w:t>İç denetim</w:t>
            </w:r>
            <w:r>
              <w:rPr>
                <w:spacing w:val="-5"/>
              </w:rPr>
              <w:t xml:space="preserve"> </w:t>
            </w:r>
            <w:r>
              <w:t>yönetmeliği</w:t>
            </w:r>
          </w:p>
          <w:p w14:paraId="57249F97" w14:textId="77777777" w:rsidR="009D7338" w:rsidRDefault="004011D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80" w:line="279" w:lineRule="exact"/>
              <w:ind w:hanging="361"/>
            </w:pPr>
            <w:r>
              <w:t>Kurum Risk</w:t>
            </w:r>
            <w:r>
              <w:rPr>
                <w:spacing w:val="-4"/>
              </w:rPr>
              <w:t xml:space="preserve"> </w:t>
            </w:r>
            <w:r>
              <w:t>Prosedürü,</w:t>
            </w:r>
          </w:p>
          <w:p w14:paraId="330B4AA8" w14:textId="77777777" w:rsidR="009D7338" w:rsidRDefault="004011D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58" w:lineRule="exact"/>
              <w:ind w:hanging="361"/>
            </w:pPr>
            <w:r>
              <w:t>Kalite Hedefleri ve ilgili proses</w:t>
            </w:r>
            <w:r>
              <w:rPr>
                <w:spacing w:val="-5"/>
              </w:rPr>
              <w:t xml:space="preserve"> </w:t>
            </w:r>
            <w:r>
              <w:t>Dokümanları</w:t>
            </w:r>
          </w:p>
        </w:tc>
      </w:tr>
      <w:tr w:rsidR="009D7338" w14:paraId="229796A7" w14:textId="77777777" w:rsidTr="006E1D8A">
        <w:trPr>
          <w:trHeight w:val="2151"/>
        </w:trPr>
        <w:tc>
          <w:tcPr>
            <w:tcW w:w="3774" w:type="dxa"/>
            <w:gridSpan w:val="2"/>
          </w:tcPr>
          <w:p w14:paraId="3D97F6B8" w14:textId="77777777" w:rsidR="009D7338" w:rsidRDefault="009D7338">
            <w:pPr>
              <w:pStyle w:val="TableParagraph"/>
              <w:rPr>
                <w:rFonts w:ascii="Times New Roman"/>
              </w:rPr>
            </w:pPr>
          </w:p>
          <w:p w14:paraId="09E0B329" w14:textId="77777777" w:rsidR="009D7338" w:rsidRDefault="009D7338">
            <w:pPr>
              <w:pStyle w:val="TableParagraph"/>
              <w:rPr>
                <w:rFonts w:ascii="Times New Roman"/>
              </w:rPr>
            </w:pPr>
          </w:p>
          <w:p w14:paraId="0C45D5DC" w14:textId="77777777" w:rsidR="009D7338" w:rsidRDefault="009D7338">
            <w:pPr>
              <w:pStyle w:val="TableParagraph"/>
              <w:rPr>
                <w:rFonts w:ascii="Times New Roman"/>
              </w:rPr>
            </w:pPr>
          </w:p>
          <w:p w14:paraId="6E2A019B" w14:textId="77777777" w:rsidR="009D7338" w:rsidRDefault="004011DE">
            <w:pPr>
              <w:pStyle w:val="TableParagraph"/>
              <w:spacing w:before="179"/>
              <w:ind w:left="110"/>
              <w:rPr>
                <w:b/>
              </w:rPr>
            </w:pPr>
            <w:r>
              <w:rPr>
                <w:b/>
              </w:rPr>
              <w:t>PROSESİN KONTROLÜ (PROSESİN İŞLETİM VE PERFORMANS KRİTERLERİ)</w:t>
            </w:r>
          </w:p>
        </w:tc>
        <w:tc>
          <w:tcPr>
            <w:tcW w:w="5872" w:type="dxa"/>
            <w:gridSpan w:val="2"/>
          </w:tcPr>
          <w:p w14:paraId="5C8C8959" w14:textId="77777777" w:rsidR="009D7338" w:rsidRDefault="004011DE">
            <w:pPr>
              <w:pStyle w:val="TableParagraph"/>
              <w:spacing w:before="1" w:line="267" w:lineRule="exact"/>
              <w:ind w:left="826"/>
            </w:pPr>
            <w:r>
              <w:t>İç tetkik sonuçları,</w:t>
            </w:r>
          </w:p>
          <w:p w14:paraId="167E06DB" w14:textId="77777777" w:rsidR="009D7338" w:rsidRDefault="004011DE">
            <w:pPr>
              <w:pStyle w:val="TableParagraph"/>
              <w:ind w:left="826" w:right="2593"/>
            </w:pPr>
            <w:r>
              <w:t>İç ve dış denetim sonuçları, Faaliyet raporları</w:t>
            </w:r>
          </w:p>
          <w:p w14:paraId="7BD9CC22" w14:textId="77777777" w:rsidR="009D7338" w:rsidRDefault="004011DE">
            <w:pPr>
              <w:pStyle w:val="TableParagraph"/>
              <w:ind w:left="826" w:right="1798"/>
            </w:pPr>
            <w:r>
              <w:t>Stratejik plan gerçekleşme düzeyleri YÖKAK KGBR raporu,</w:t>
            </w:r>
          </w:p>
          <w:p w14:paraId="6D79269D" w14:textId="77777777" w:rsidR="009D7338" w:rsidRDefault="004011DE">
            <w:pPr>
              <w:pStyle w:val="TableParagraph"/>
              <w:ind w:left="826"/>
            </w:pPr>
            <w:r>
              <w:t>KDR raporu paydaş memnuniyet anketleri,</w:t>
            </w:r>
          </w:p>
          <w:p w14:paraId="5BCB5563" w14:textId="77777777" w:rsidR="009D7338" w:rsidRDefault="004011DE">
            <w:pPr>
              <w:pStyle w:val="TableParagraph"/>
              <w:spacing w:line="270" w:lineRule="atLeast"/>
              <w:ind w:left="826" w:right="392"/>
            </w:pPr>
            <w:r>
              <w:t>Ulusal ve uluslararası derecelendirme kuruluşlarının yaptığı sıralamalar</w:t>
            </w:r>
          </w:p>
        </w:tc>
      </w:tr>
      <w:tr w:rsidR="009D7338" w14:paraId="4FE83206" w14:textId="77777777" w:rsidTr="006E1D8A">
        <w:trPr>
          <w:trHeight w:val="1273"/>
        </w:trPr>
        <w:tc>
          <w:tcPr>
            <w:tcW w:w="1138" w:type="dxa"/>
            <w:vMerge w:val="restart"/>
            <w:textDirection w:val="btLr"/>
          </w:tcPr>
          <w:p w14:paraId="2C7B366C" w14:textId="77777777" w:rsidR="009D7338" w:rsidRDefault="009D7338">
            <w:pPr>
              <w:pStyle w:val="TableParagraph"/>
              <w:rPr>
                <w:rFonts w:ascii="Times New Roman"/>
              </w:rPr>
            </w:pPr>
          </w:p>
          <w:p w14:paraId="0DE39817" w14:textId="77777777" w:rsidR="009D7338" w:rsidRDefault="004011DE">
            <w:pPr>
              <w:pStyle w:val="TableParagraph"/>
              <w:spacing w:before="133"/>
              <w:ind w:left="1243"/>
              <w:rPr>
                <w:b/>
              </w:rPr>
            </w:pPr>
            <w:r>
              <w:rPr>
                <w:b/>
              </w:rPr>
              <w:t>PROSES ÖNLEMİ (İYİLEŞTİRMELER)</w:t>
            </w:r>
          </w:p>
        </w:tc>
        <w:tc>
          <w:tcPr>
            <w:tcW w:w="2636" w:type="dxa"/>
            <w:vMerge w:val="restart"/>
          </w:tcPr>
          <w:p w14:paraId="6F4E6F70" w14:textId="77777777" w:rsidR="009D7338" w:rsidRDefault="009D7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0" w:type="dxa"/>
          </w:tcPr>
          <w:p w14:paraId="2F1607A9" w14:textId="77777777" w:rsidR="009D7338" w:rsidRDefault="009D7338">
            <w:pPr>
              <w:pStyle w:val="TableParagraph"/>
              <w:rPr>
                <w:rFonts w:ascii="Times New Roman"/>
              </w:rPr>
            </w:pPr>
          </w:p>
          <w:p w14:paraId="7B30AE7D" w14:textId="77777777" w:rsidR="009D7338" w:rsidRDefault="009D7338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14:paraId="15A2F849" w14:textId="77777777" w:rsidR="009D7338" w:rsidRDefault="004011DE">
            <w:pPr>
              <w:pStyle w:val="TableParagraph"/>
              <w:ind w:left="106" w:right="798"/>
              <w:rPr>
                <w:b/>
              </w:rPr>
            </w:pPr>
            <w:r>
              <w:rPr>
                <w:b/>
              </w:rPr>
              <w:t>Değerlendirme Metodu</w:t>
            </w:r>
          </w:p>
        </w:tc>
        <w:tc>
          <w:tcPr>
            <w:tcW w:w="3572" w:type="dxa"/>
          </w:tcPr>
          <w:p w14:paraId="281BBA33" w14:textId="77777777" w:rsidR="009D7338" w:rsidRDefault="009D7338">
            <w:pPr>
              <w:pStyle w:val="TableParagraph"/>
              <w:rPr>
                <w:rFonts w:ascii="Times New Roman"/>
              </w:rPr>
            </w:pPr>
          </w:p>
          <w:p w14:paraId="4AC2FA69" w14:textId="77777777" w:rsidR="009D7338" w:rsidRDefault="009D733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350D7DB7" w14:textId="77777777" w:rsidR="009D7338" w:rsidRDefault="004011DE">
            <w:pPr>
              <w:pStyle w:val="TableParagraph"/>
              <w:ind w:left="106"/>
            </w:pPr>
            <w:r>
              <w:t>Tetkik sonuçları, raporlar,</w:t>
            </w:r>
          </w:p>
          <w:p w14:paraId="619C9AB6" w14:textId="77777777" w:rsidR="009D7338" w:rsidRDefault="004011DE">
            <w:pPr>
              <w:pStyle w:val="TableParagraph"/>
              <w:ind w:left="106"/>
            </w:pPr>
            <w:proofErr w:type="gramStart"/>
            <w:r>
              <w:t>sıralamalar</w:t>
            </w:r>
            <w:proofErr w:type="gramEnd"/>
            <w:r>
              <w:t>, anketler ve görüşmeler</w:t>
            </w:r>
          </w:p>
        </w:tc>
      </w:tr>
      <w:tr w:rsidR="009D7338" w14:paraId="743BA58D" w14:textId="77777777" w:rsidTr="006E1D8A">
        <w:trPr>
          <w:trHeight w:val="1131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14:paraId="19D3FE54" w14:textId="77777777" w:rsidR="009D7338" w:rsidRDefault="009D7338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14:paraId="74D09070" w14:textId="77777777" w:rsidR="009D7338" w:rsidRDefault="009D733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14:paraId="0042142C" w14:textId="77777777" w:rsidR="009D7338" w:rsidRDefault="009D7338">
            <w:pPr>
              <w:pStyle w:val="TableParagraph"/>
              <w:rPr>
                <w:rFonts w:ascii="Times New Roman"/>
              </w:rPr>
            </w:pPr>
          </w:p>
          <w:p w14:paraId="020C9CA7" w14:textId="77777777" w:rsidR="009D7338" w:rsidRDefault="009D7338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38E25CC8" w14:textId="77777777" w:rsidR="009D7338" w:rsidRDefault="004011DE">
            <w:pPr>
              <w:pStyle w:val="TableParagraph"/>
              <w:ind w:left="106" w:right="798"/>
              <w:rPr>
                <w:b/>
              </w:rPr>
            </w:pPr>
            <w:r>
              <w:rPr>
                <w:b/>
              </w:rPr>
              <w:t>Değerlendirme Periyodu</w:t>
            </w:r>
          </w:p>
        </w:tc>
        <w:tc>
          <w:tcPr>
            <w:tcW w:w="3572" w:type="dxa"/>
          </w:tcPr>
          <w:p w14:paraId="5F0E29A7" w14:textId="77777777" w:rsidR="009D7338" w:rsidRDefault="009D7338">
            <w:pPr>
              <w:pStyle w:val="TableParagraph"/>
              <w:rPr>
                <w:rFonts w:ascii="Times New Roman"/>
              </w:rPr>
            </w:pPr>
          </w:p>
          <w:p w14:paraId="3D60D0BF" w14:textId="77777777" w:rsidR="009D7338" w:rsidRDefault="009D7338">
            <w:pPr>
              <w:pStyle w:val="TableParagraph"/>
              <w:rPr>
                <w:rFonts w:ascii="Times New Roman"/>
              </w:rPr>
            </w:pPr>
          </w:p>
          <w:p w14:paraId="46350A80" w14:textId="77777777" w:rsidR="009D7338" w:rsidRDefault="009D7338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7BE0A58A" w14:textId="77777777" w:rsidR="009D7338" w:rsidRDefault="004011DE">
            <w:pPr>
              <w:pStyle w:val="TableParagraph"/>
              <w:ind w:left="106"/>
            </w:pPr>
            <w:r>
              <w:t>Haftalık, aylık, yıllık</w:t>
            </w:r>
          </w:p>
        </w:tc>
      </w:tr>
      <w:tr w:rsidR="009D7338" w14:paraId="4383A7BD" w14:textId="77777777" w:rsidTr="006E1D8A">
        <w:trPr>
          <w:trHeight w:val="1260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14:paraId="2F4B0D55" w14:textId="77777777" w:rsidR="009D7338" w:rsidRDefault="009D7338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14:paraId="6D4B3A23" w14:textId="77777777" w:rsidR="009D7338" w:rsidRDefault="009D733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14:paraId="7A023CC2" w14:textId="77777777" w:rsidR="009D7338" w:rsidRDefault="009D7338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42E1DBFB" w14:textId="77777777" w:rsidR="009D7338" w:rsidRDefault="004011D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Raporlama</w:t>
            </w:r>
          </w:p>
        </w:tc>
        <w:tc>
          <w:tcPr>
            <w:tcW w:w="3572" w:type="dxa"/>
          </w:tcPr>
          <w:p w14:paraId="6DC10F9C" w14:textId="77777777" w:rsidR="009D7338" w:rsidRDefault="009D7338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2280D54D" w14:textId="77777777" w:rsidR="009D7338" w:rsidRDefault="004011DE">
            <w:pPr>
              <w:pStyle w:val="TableParagraph"/>
              <w:ind w:left="106" w:right="362"/>
            </w:pPr>
            <w:r>
              <w:t>Strateji geliştirme daire başkanlığı, Kalite birimi, rektörlük, istatistik birimi</w:t>
            </w:r>
          </w:p>
        </w:tc>
      </w:tr>
      <w:tr w:rsidR="009D7338" w14:paraId="483704A1" w14:textId="77777777" w:rsidTr="006E1D8A">
        <w:trPr>
          <w:trHeight w:val="1368"/>
        </w:trPr>
        <w:tc>
          <w:tcPr>
            <w:tcW w:w="3774" w:type="dxa"/>
            <w:gridSpan w:val="2"/>
          </w:tcPr>
          <w:p w14:paraId="2CC6E36A" w14:textId="77777777" w:rsidR="009D7338" w:rsidRDefault="009D733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2" w:type="dxa"/>
            <w:gridSpan w:val="2"/>
          </w:tcPr>
          <w:p w14:paraId="650F269B" w14:textId="77777777" w:rsidR="009D7338" w:rsidRDefault="004011DE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403"/>
            </w:pPr>
            <w:r>
              <w:t>İzleme ve ölçme yöntemlerinin KYS sistemine uygun olmaması,</w:t>
            </w:r>
          </w:p>
          <w:p w14:paraId="114904FE" w14:textId="77777777" w:rsidR="009D7338" w:rsidRDefault="004011DE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2" w:line="278" w:lineRule="exact"/>
              <w:ind w:hanging="361"/>
            </w:pPr>
            <w:r>
              <w:t>İzleme ve ölçme araçlarındaki</w:t>
            </w:r>
            <w:r>
              <w:rPr>
                <w:spacing w:val="-12"/>
              </w:rPr>
              <w:t xml:space="preserve"> </w:t>
            </w:r>
            <w:r>
              <w:t>eksiklikler,</w:t>
            </w:r>
          </w:p>
          <w:p w14:paraId="39514157" w14:textId="77777777" w:rsidR="009D7338" w:rsidRDefault="004011DE">
            <w:pPr>
              <w:pStyle w:val="TableParagraph"/>
              <w:spacing w:line="267" w:lineRule="exact"/>
              <w:ind w:left="826"/>
            </w:pPr>
            <w:r>
              <w:t>Değerlendirme yapacak komisyonların</w:t>
            </w:r>
            <w:r>
              <w:rPr>
                <w:spacing w:val="-19"/>
              </w:rPr>
              <w:t xml:space="preserve"> </w:t>
            </w:r>
            <w:r>
              <w:t>yetersizliği,</w:t>
            </w:r>
          </w:p>
          <w:p w14:paraId="7D4481DD" w14:textId="77777777" w:rsidR="009D7338" w:rsidRDefault="004011DE">
            <w:pPr>
              <w:pStyle w:val="TableParagraph"/>
              <w:spacing w:before="1" w:line="252" w:lineRule="exact"/>
              <w:ind w:left="826"/>
            </w:pPr>
            <w:proofErr w:type="gramStart"/>
            <w:r>
              <w:t>sonuçların</w:t>
            </w:r>
            <w:proofErr w:type="gramEnd"/>
            <w:r>
              <w:t xml:space="preserve"> muhafaza edilmemesi</w:t>
            </w:r>
          </w:p>
        </w:tc>
      </w:tr>
    </w:tbl>
    <w:p w14:paraId="01B96C62" w14:textId="77777777" w:rsidR="009D7338" w:rsidRDefault="009D7338">
      <w:pPr>
        <w:pStyle w:val="GvdeMetni"/>
        <w:spacing w:before="10" w:after="1"/>
        <w:rPr>
          <w:rFonts w:ascii="Times New Roman"/>
          <w:sz w:val="12"/>
        </w:rPr>
      </w:pPr>
    </w:p>
    <w:p w14:paraId="417FA18D" w14:textId="77777777" w:rsidR="009D7338" w:rsidRDefault="009D7338" w:rsidP="00DB7660">
      <w:pPr>
        <w:pStyle w:val="GvdeMetni"/>
        <w:spacing w:line="508" w:lineRule="auto"/>
      </w:pPr>
    </w:p>
    <w:sectPr w:rsidR="009D7338" w:rsidSect="006E1D8A">
      <w:headerReference w:type="default" r:id="rId10"/>
      <w:pgSz w:w="12000" w:h="8000" w:orient="landscape"/>
      <w:pgMar w:top="720" w:right="380" w:bottom="1135" w:left="380" w:header="0" w:footer="119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68E8" w14:textId="77777777" w:rsidR="00DA144A" w:rsidRDefault="00DA144A">
      <w:r>
        <w:separator/>
      </w:r>
    </w:p>
  </w:endnote>
  <w:endnote w:type="continuationSeparator" w:id="0">
    <w:p w14:paraId="18B3B488" w14:textId="77777777" w:rsidR="00DA144A" w:rsidRDefault="00DA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DB7660" w14:paraId="5D24E11A" w14:textId="77777777" w:rsidTr="00DB7660">
      <w:trPr>
        <w:trHeight w:val="274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B57454" w14:textId="77777777" w:rsidR="00DB7660" w:rsidRDefault="00DB7660" w:rsidP="00DB7660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3C9D20" w14:textId="77777777" w:rsidR="00DB7660" w:rsidRDefault="00DB7660" w:rsidP="00DB7660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64899A" w14:textId="77777777" w:rsidR="00DB7660" w:rsidRDefault="00DB7660" w:rsidP="00DB7660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FF9C89" w14:textId="77777777" w:rsidR="00DB7660" w:rsidRDefault="00DB7660" w:rsidP="00DB7660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</w:rPr>
            <w:drawing>
              <wp:inline distT="0" distB="0" distL="0" distR="0" wp14:anchorId="17E1D68D" wp14:editId="4DF092C6">
                <wp:extent cx="1162050" cy="438150"/>
                <wp:effectExtent l="0" t="0" r="0" b="0"/>
                <wp:docPr id="28" name="Resi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7660" w14:paraId="1BAF4A0B" w14:textId="77777777" w:rsidTr="00DB7660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DC7829" w14:textId="77777777" w:rsidR="00DB7660" w:rsidRDefault="00DB7660" w:rsidP="00DB7660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FAB54E" w14:textId="77777777" w:rsidR="00DB7660" w:rsidRDefault="00DB7660" w:rsidP="00DB7660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B0A4747" w14:textId="77777777" w:rsidR="00DB7660" w:rsidRDefault="00DB7660" w:rsidP="00DB7660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5D55BE" w14:textId="77777777" w:rsidR="00DB7660" w:rsidRDefault="00DB7660" w:rsidP="00DB7660">
          <w:pPr>
            <w:rPr>
              <w:b/>
              <w:szCs w:val="20"/>
            </w:rPr>
          </w:pPr>
        </w:p>
      </w:tc>
    </w:tr>
  </w:tbl>
  <w:p w14:paraId="2EB850AE" w14:textId="77777777" w:rsidR="00DB7660" w:rsidRPr="00DB7660" w:rsidRDefault="00DB7660" w:rsidP="00DB76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A707" w14:textId="77777777" w:rsidR="00DA144A" w:rsidRDefault="00DA144A">
      <w:r>
        <w:separator/>
      </w:r>
    </w:p>
  </w:footnote>
  <w:footnote w:type="continuationSeparator" w:id="0">
    <w:p w14:paraId="4BF41EF1" w14:textId="77777777" w:rsidR="00DA144A" w:rsidRDefault="00DA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FEAB" w14:textId="77777777" w:rsidR="009D7338" w:rsidRDefault="009D7338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A2F0" w14:textId="77777777" w:rsidR="009D7338" w:rsidRDefault="009D733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931"/>
    <w:multiLevelType w:val="hybridMultilevel"/>
    <w:tmpl w:val="8312D0A4"/>
    <w:lvl w:ilvl="0" w:tplc="C25A6762">
      <w:numFmt w:val="bullet"/>
      <w:lvlText w:val=""/>
      <w:lvlJc w:val="left"/>
      <w:pPr>
        <w:ind w:left="825" w:hanging="360"/>
      </w:pPr>
      <w:rPr>
        <w:rFonts w:hint="default"/>
        <w:w w:val="100"/>
        <w:lang w:val="tr-TR" w:eastAsia="tr-TR" w:bidi="tr-TR"/>
      </w:rPr>
    </w:lvl>
    <w:lvl w:ilvl="1" w:tplc="A9AA4E38">
      <w:numFmt w:val="bullet"/>
      <w:lvlText w:val="•"/>
      <w:lvlJc w:val="left"/>
      <w:pPr>
        <w:ind w:left="1324" w:hanging="360"/>
      </w:pPr>
      <w:rPr>
        <w:rFonts w:hint="default"/>
        <w:lang w:val="tr-TR" w:eastAsia="tr-TR" w:bidi="tr-TR"/>
      </w:rPr>
    </w:lvl>
    <w:lvl w:ilvl="2" w:tplc="368C1440">
      <w:numFmt w:val="bullet"/>
      <w:lvlText w:val="•"/>
      <w:lvlJc w:val="left"/>
      <w:pPr>
        <w:ind w:left="1828" w:hanging="360"/>
      </w:pPr>
      <w:rPr>
        <w:rFonts w:hint="default"/>
        <w:lang w:val="tr-TR" w:eastAsia="tr-TR" w:bidi="tr-TR"/>
      </w:rPr>
    </w:lvl>
    <w:lvl w:ilvl="3" w:tplc="5A1680BE">
      <w:numFmt w:val="bullet"/>
      <w:lvlText w:val="•"/>
      <w:lvlJc w:val="left"/>
      <w:pPr>
        <w:ind w:left="2333" w:hanging="360"/>
      </w:pPr>
      <w:rPr>
        <w:rFonts w:hint="default"/>
        <w:lang w:val="tr-TR" w:eastAsia="tr-TR" w:bidi="tr-TR"/>
      </w:rPr>
    </w:lvl>
    <w:lvl w:ilvl="4" w:tplc="72081F2A">
      <w:numFmt w:val="bullet"/>
      <w:lvlText w:val="•"/>
      <w:lvlJc w:val="left"/>
      <w:pPr>
        <w:ind w:left="2837" w:hanging="360"/>
      </w:pPr>
      <w:rPr>
        <w:rFonts w:hint="default"/>
        <w:lang w:val="tr-TR" w:eastAsia="tr-TR" w:bidi="tr-TR"/>
      </w:rPr>
    </w:lvl>
    <w:lvl w:ilvl="5" w:tplc="D5ACD804">
      <w:numFmt w:val="bullet"/>
      <w:lvlText w:val="•"/>
      <w:lvlJc w:val="left"/>
      <w:pPr>
        <w:ind w:left="3342" w:hanging="360"/>
      </w:pPr>
      <w:rPr>
        <w:rFonts w:hint="default"/>
        <w:lang w:val="tr-TR" w:eastAsia="tr-TR" w:bidi="tr-TR"/>
      </w:rPr>
    </w:lvl>
    <w:lvl w:ilvl="6" w:tplc="BEB23462">
      <w:numFmt w:val="bullet"/>
      <w:lvlText w:val="•"/>
      <w:lvlJc w:val="left"/>
      <w:pPr>
        <w:ind w:left="3846" w:hanging="360"/>
      </w:pPr>
      <w:rPr>
        <w:rFonts w:hint="default"/>
        <w:lang w:val="tr-TR" w:eastAsia="tr-TR" w:bidi="tr-TR"/>
      </w:rPr>
    </w:lvl>
    <w:lvl w:ilvl="7" w:tplc="EECA5A92">
      <w:numFmt w:val="bullet"/>
      <w:lvlText w:val="•"/>
      <w:lvlJc w:val="left"/>
      <w:pPr>
        <w:ind w:left="4350" w:hanging="360"/>
      </w:pPr>
      <w:rPr>
        <w:rFonts w:hint="default"/>
        <w:lang w:val="tr-TR" w:eastAsia="tr-TR" w:bidi="tr-TR"/>
      </w:rPr>
    </w:lvl>
    <w:lvl w:ilvl="8" w:tplc="1B8AE4D4">
      <w:numFmt w:val="bullet"/>
      <w:lvlText w:val="•"/>
      <w:lvlJc w:val="left"/>
      <w:pPr>
        <w:ind w:left="4855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245F7A0D"/>
    <w:multiLevelType w:val="hybridMultilevel"/>
    <w:tmpl w:val="091CE624"/>
    <w:lvl w:ilvl="0" w:tplc="9B442AE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81028FCA">
      <w:numFmt w:val="bullet"/>
      <w:lvlText w:val="•"/>
      <w:lvlJc w:val="left"/>
      <w:pPr>
        <w:ind w:left="1324" w:hanging="360"/>
      </w:pPr>
      <w:rPr>
        <w:rFonts w:hint="default"/>
        <w:lang w:val="tr-TR" w:eastAsia="tr-TR" w:bidi="tr-TR"/>
      </w:rPr>
    </w:lvl>
    <w:lvl w:ilvl="2" w:tplc="E2C8B132">
      <w:numFmt w:val="bullet"/>
      <w:lvlText w:val="•"/>
      <w:lvlJc w:val="left"/>
      <w:pPr>
        <w:ind w:left="1828" w:hanging="360"/>
      </w:pPr>
      <w:rPr>
        <w:rFonts w:hint="default"/>
        <w:lang w:val="tr-TR" w:eastAsia="tr-TR" w:bidi="tr-TR"/>
      </w:rPr>
    </w:lvl>
    <w:lvl w:ilvl="3" w:tplc="4BD81340">
      <w:numFmt w:val="bullet"/>
      <w:lvlText w:val="•"/>
      <w:lvlJc w:val="left"/>
      <w:pPr>
        <w:ind w:left="2332" w:hanging="360"/>
      </w:pPr>
      <w:rPr>
        <w:rFonts w:hint="default"/>
        <w:lang w:val="tr-TR" w:eastAsia="tr-TR" w:bidi="tr-TR"/>
      </w:rPr>
    </w:lvl>
    <w:lvl w:ilvl="4" w:tplc="CD96A2FA">
      <w:numFmt w:val="bullet"/>
      <w:lvlText w:val="•"/>
      <w:lvlJc w:val="left"/>
      <w:pPr>
        <w:ind w:left="2836" w:hanging="360"/>
      </w:pPr>
      <w:rPr>
        <w:rFonts w:hint="default"/>
        <w:lang w:val="tr-TR" w:eastAsia="tr-TR" w:bidi="tr-TR"/>
      </w:rPr>
    </w:lvl>
    <w:lvl w:ilvl="5" w:tplc="E07812E6">
      <w:numFmt w:val="bullet"/>
      <w:lvlText w:val="•"/>
      <w:lvlJc w:val="left"/>
      <w:pPr>
        <w:ind w:left="3341" w:hanging="360"/>
      </w:pPr>
      <w:rPr>
        <w:rFonts w:hint="default"/>
        <w:lang w:val="tr-TR" w:eastAsia="tr-TR" w:bidi="tr-TR"/>
      </w:rPr>
    </w:lvl>
    <w:lvl w:ilvl="6" w:tplc="525AD346">
      <w:numFmt w:val="bullet"/>
      <w:lvlText w:val="•"/>
      <w:lvlJc w:val="left"/>
      <w:pPr>
        <w:ind w:left="3845" w:hanging="360"/>
      </w:pPr>
      <w:rPr>
        <w:rFonts w:hint="default"/>
        <w:lang w:val="tr-TR" w:eastAsia="tr-TR" w:bidi="tr-TR"/>
      </w:rPr>
    </w:lvl>
    <w:lvl w:ilvl="7" w:tplc="C91CC9F4">
      <w:numFmt w:val="bullet"/>
      <w:lvlText w:val="•"/>
      <w:lvlJc w:val="left"/>
      <w:pPr>
        <w:ind w:left="4349" w:hanging="360"/>
      </w:pPr>
      <w:rPr>
        <w:rFonts w:hint="default"/>
        <w:lang w:val="tr-TR" w:eastAsia="tr-TR" w:bidi="tr-TR"/>
      </w:rPr>
    </w:lvl>
    <w:lvl w:ilvl="8" w:tplc="1B8C1016">
      <w:numFmt w:val="bullet"/>
      <w:lvlText w:val="•"/>
      <w:lvlJc w:val="left"/>
      <w:pPr>
        <w:ind w:left="4853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2C3538B8"/>
    <w:multiLevelType w:val="hybridMultilevel"/>
    <w:tmpl w:val="6A9EA822"/>
    <w:lvl w:ilvl="0" w:tplc="C832B5A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DE062060">
      <w:numFmt w:val="bullet"/>
      <w:lvlText w:val="•"/>
      <w:lvlJc w:val="left"/>
      <w:pPr>
        <w:ind w:left="1324" w:hanging="360"/>
      </w:pPr>
      <w:rPr>
        <w:rFonts w:hint="default"/>
        <w:lang w:val="tr-TR" w:eastAsia="tr-TR" w:bidi="tr-TR"/>
      </w:rPr>
    </w:lvl>
    <w:lvl w:ilvl="2" w:tplc="655298B4">
      <w:numFmt w:val="bullet"/>
      <w:lvlText w:val="•"/>
      <w:lvlJc w:val="left"/>
      <w:pPr>
        <w:ind w:left="1828" w:hanging="360"/>
      </w:pPr>
      <w:rPr>
        <w:rFonts w:hint="default"/>
        <w:lang w:val="tr-TR" w:eastAsia="tr-TR" w:bidi="tr-TR"/>
      </w:rPr>
    </w:lvl>
    <w:lvl w:ilvl="3" w:tplc="B65C6578">
      <w:numFmt w:val="bullet"/>
      <w:lvlText w:val="•"/>
      <w:lvlJc w:val="left"/>
      <w:pPr>
        <w:ind w:left="2333" w:hanging="360"/>
      </w:pPr>
      <w:rPr>
        <w:rFonts w:hint="default"/>
        <w:lang w:val="tr-TR" w:eastAsia="tr-TR" w:bidi="tr-TR"/>
      </w:rPr>
    </w:lvl>
    <w:lvl w:ilvl="4" w:tplc="4816D1AE">
      <w:numFmt w:val="bullet"/>
      <w:lvlText w:val="•"/>
      <w:lvlJc w:val="left"/>
      <w:pPr>
        <w:ind w:left="2837" w:hanging="360"/>
      </w:pPr>
      <w:rPr>
        <w:rFonts w:hint="default"/>
        <w:lang w:val="tr-TR" w:eastAsia="tr-TR" w:bidi="tr-TR"/>
      </w:rPr>
    </w:lvl>
    <w:lvl w:ilvl="5" w:tplc="BCF24010">
      <w:numFmt w:val="bullet"/>
      <w:lvlText w:val="•"/>
      <w:lvlJc w:val="left"/>
      <w:pPr>
        <w:ind w:left="3342" w:hanging="360"/>
      </w:pPr>
      <w:rPr>
        <w:rFonts w:hint="default"/>
        <w:lang w:val="tr-TR" w:eastAsia="tr-TR" w:bidi="tr-TR"/>
      </w:rPr>
    </w:lvl>
    <w:lvl w:ilvl="6" w:tplc="055861CC">
      <w:numFmt w:val="bullet"/>
      <w:lvlText w:val="•"/>
      <w:lvlJc w:val="left"/>
      <w:pPr>
        <w:ind w:left="3846" w:hanging="360"/>
      </w:pPr>
      <w:rPr>
        <w:rFonts w:hint="default"/>
        <w:lang w:val="tr-TR" w:eastAsia="tr-TR" w:bidi="tr-TR"/>
      </w:rPr>
    </w:lvl>
    <w:lvl w:ilvl="7" w:tplc="6126810E">
      <w:numFmt w:val="bullet"/>
      <w:lvlText w:val="•"/>
      <w:lvlJc w:val="left"/>
      <w:pPr>
        <w:ind w:left="4350" w:hanging="360"/>
      </w:pPr>
      <w:rPr>
        <w:rFonts w:hint="default"/>
        <w:lang w:val="tr-TR" w:eastAsia="tr-TR" w:bidi="tr-TR"/>
      </w:rPr>
    </w:lvl>
    <w:lvl w:ilvl="8" w:tplc="950C547E">
      <w:numFmt w:val="bullet"/>
      <w:lvlText w:val="•"/>
      <w:lvlJc w:val="left"/>
      <w:pPr>
        <w:ind w:left="4855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31065E84"/>
    <w:multiLevelType w:val="hybridMultilevel"/>
    <w:tmpl w:val="6A0CEAB4"/>
    <w:lvl w:ilvl="0" w:tplc="AA0E582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16262D08">
      <w:numFmt w:val="bullet"/>
      <w:lvlText w:val="•"/>
      <w:lvlJc w:val="left"/>
      <w:pPr>
        <w:ind w:left="1324" w:hanging="360"/>
      </w:pPr>
      <w:rPr>
        <w:rFonts w:hint="default"/>
        <w:lang w:val="tr-TR" w:eastAsia="tr-TR" w:bidi="tr-TR"/>
      </w:rPr>
    </w:lvl>
    <w:lvl w:ilvl="2" w:tplc="FF8E81E0">
      <w:numFmt w:val="bullet"/>
      <w:lvlText w:val="•"/>
      <w:lvlJc w:val="left"/>
      <w:pPr>
        <w:ind w:left="1828" w:hanging="360"/>
      </w:pPr>
      <w:rPr>
        <w:rFonts w:hint="default"/>
        <w:lang w:val="tr-TR" w:eastAsia="tr-TR" w:bidi="tr-TR"/>
      </w:rPr>
    </w:lvl>
    <w:lvl w:ilvl="3" w:tplc="FD7E7254">
      <w:numFmt w:val="bullet"/>
      <w:lvlText w:val="•"/>
      <w:lvlJc w:val="left"/>
      <w:pPr>
        <w:ind w:left="2332" w:hanging="360"/>
      </w:pPr>
      <w:rPr>
        <w:rFonts w:hint="default"/>
        <w:lang w:val="tr-TR" w:eastAsia="tr-TR" w:bidi="tr-TR"/>
      </w:rPr>
    </w:lvl>
    <w:lvl w:ilvl="4" w:tplc="7586FF14">
      <w:numFmt w:val="bullet"/>
      <w:lvlText w:val="•"/>
      <w:lvlJc w:val="left"/>
      <w:pPr>
        <w:ind w:left="2836" w:hanging="360"/>
      </w:pPr>
      <w:rPr>
        <w:rFonts w:hint="default"/>
        <w:lang w:val="tr-TR" w:eastAsia="tr-TR" w:bidi="tr-TR"/>
      </w:rPr>
    </w:lvl>
    <w:lvl w:ilvl="5" w:tplc="37D8C5A2">
      <w:numFmt w:val="bullet"/>
      <w:lvlText w:val="•"/>
      <w:lvlJc w:val="left"/>
      <w:pPr>
        <w:ind w:left="3341" w:hanging="360"/>
      </w:pPr>
      <w:rPr>
        <w:rFonts w:hint="default"/>
        <w:lang w:val="tr-TR" w:eastAsia="tr-TR" w:bidi="tr-TR"/>
      </w:rPr>
    </w:lvl>
    <w:lvl w:ilvl="6" w:tplc="6E788BBC">
      <w:numFmt w:val="bullet"/>
      <w:lvlText w:val="•"/>
      <w:lvlJc w:val="left"/>
      <w:pPr>
        <w:ind w:left="3845" w:hanging="360"/>
      </w:pPr>
      <w:rPr>
        <w:rFonts w:hint="default"/>
        <w:lang w:val="tr-TR" w:eastAsia="tr-TR" w:bidi="tr-TR"/>
      </w:rPr>
    </w:lvl>
    <w:lvl w:ilvl="7" w:tplc="1E1A1E7C">
      <w:numFmt w:val="bullet"/>
      <w:lvlText w:val="•"/>
      <w:lvlJc w:val="left"/>
      <w:pPr>
        <w:ind w:left="4349" w:hanging="360"/>
      </w:pPr>
      <w:rPr>
        <w:rFonts w:hint="default"/>
        <w:lang w:val="tr-TR" w:eastAsia="tr-TR" w:bidi="tr-TR"/>
      </w:rPr>
    </w:lvl>
    <w:lvl w:ilvl="8" w:tplc="05C842AE">
      <w:numFmt w:val="bullet"/>
      <w:lvlText w:val="•"/>
      <w:lvlJc w:val="left"/>
      <w:pPr>
        <w:ind w:left="4853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338"/>
    <w:rsid w:val="004011DE"/>
    <w:rsid w:val="006014A1"/>
    <w:rsid w:val="006E1D8A"/>
    <w:rsid w:val="009D7338"/>
    <w:rsid w:val="00B874D5"/>
    <w:rsid w:val="00DA144A"/>
    <w:rsid w:val="00D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94C50"/>
  <w15:docId w15:val="{63BB4333-A8F0-44F9-92D1-D330591D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ourier New" w:eastAsia="Courier New" w:hAnsi="Courier New" w:cs="Courier New"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B76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7660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B76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7660"/>
    <w:rPr>
      <w:rFonts w:ascii="Calibri" w:eastAsia="Calibri" w:hAnsi="Calibri" w:cs="Calibri"/>
      <w:lang w:val="tr-TR" w:eastAsia="tr-TR" w:bidi="tr-TR"/>
    </w:rPr>
  </w:style>
  <w:style w:type="table" w:styleId="TabloKlavuzu">
    <w:name w:val="Table Grid"/>
    <w:basedOn w:val="NormalTablo"/>
    <w:uiPriority w:val="59"/>
    <w:rsid w:val="00DB7660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DB7660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zekai ayık</cp:lastModifiedBy>
  <cp:revision>3</cp:revision>
  <dcterms:created xsi:type="dcterms:W3CDTF">2021-08-24T09:26:00Z</dcterms:created>
  <dcterms:modified xsi:type="dcterms:W3CDTF">2021-09-08T07:21:00Z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2021-08-24T00:00:00Z</vt:filetime>
  </property>
</Properties>
</file>